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6E41C" w14:textId="77777777" w:rsidR="0089258E" w:rsidRDefault="00000000">
      <w:pPr>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sz w:val="44"/>
          <w:szCs w:val="44"/>
        </w:rPr>
        <w:t>地方标准编制说明</w:t>
      </w:r>
    </w:p>
    <w:p w14:paraId="4F49DD9D" w14:textId="77777777" w:rsidR="0089258E" w:rsidRDefault="00000000">
      <w:pPr>
        <w:spacing w:line="360" w:lineRule="auto"/>
        <w:ind w:firstLineChars="200" w:firstLine="640"/>
        <w:outlineLvl w:val="0"/>
        <w:rPr>
          <w:rFonts w:ascii="黑体" w:eastAsia="黑体" w:hAnsi="黑体" w:cs="黑体" w:hint="eastAsia"/>
          <w:sz w:val="32"/>
          <w:szCs w:val="32"/>
        </w:rPr>
      </w:pPr>
      <w:r>
        <w:rPr>
          <w:rFonts w:ascii="黑体" w:eastAsia="黑体" w:hAnsi="黑体" w:cs="黑体" w:hint="eastAsia"/>
          <w:sz w:val="32"/>
          <w:szCs w:val="32"/>
        </w:rPr>
        <w:t>一、目的意义</w:t>
      </w:r>
    </w:p>
    <w:p w14:paraId="473CBD71" w14:textId="77777777" w:rsidR="0089258E" w:rsidRDefault="00000000">
      <w:pPr>
        <w:spacing w:line="360" w:lineRule="auto"/>
        <w:ind w:firstLineChars="200" w:firstLine="480"/>
        <w:jc w:val="left"/>
        <w:rPr>
          <w:rFonts w:ascii="宋体" w:hAnsi="宋体" w:hint="eastAsia"/>
          <w:sz w:val="24"/>
        </w:rPr>
      </w:pPr>
      <w:r>
        <w:rPr>
          <w:rFonts w:ascii="宋体" w:hAnsi="宋体" w:hint="eastAsia"/>
          <w:sz w:val="24"/>
        </w:rPr>
        <w:t>随着社会经济与工程技术的发展，大型游乐设施向更高、更快、更复杂、更加新颖和高科技方向发展，追求更高，更快，更好的舒适性和更强的刺激感。游乐场的快速发展，给游乐设施娱乐业带来了新的生机，但也给游乐场的运营管理提出了更高的要求。江苏省特检院于2021年在江苏省市场监督管理局的指导下，建设了大型游乐设施智慧服务云平台，目前已正式投入使用，该平台不仅为全省171家大型游乐设施使用单位提供了安全检查、维修管理、运行管理、隐患管理、网上报检等功能，也为全省各级特种设备安全监察机构提供了数据支撑和数字化的监管手段，是全省大型游乐设施安全管理最重要的信息系统。</w:t>
      </w:r>
    </w:p>
    <w:p w14:paraId="2B62988F" w14:textId="77777777" w:rsidR="0089258E" w:rsidRDefault="00000000">
      <w:pPr>
        <w:spacing w:line="360" w:lineRule="auto"/>
        <w:ind w:firstLineChars="200" w:firstLine="480"/>
        <w:jc w:val="left"/>
        <w:rPr>
          <w:rFonts w:ascii="宋体" w:hAnsi="宋体" w:hint="eastAsia"/>
          <w:sz w:val="24"/>
        </w:rPr>
      </w:pPr>
      <w:r>
        <w:rPr>
          <w:rFonts w:ascii="宋体" w:hAnsi="宋体" w:hint="eastAsia"/>
          <w:sz w:val="24"/>
        </w:rPr>
        <w:t>随着游乐设施管理信息化建设的高速发展，数字资产对企业发展、政府监管的重要性不言而喻。信息系统之间经常需要进行数据交换，实现数据交换首先必须保证双方对交换的数据具有共同的理解和彼此的兼容。然而不同的信息系统之间的数据经常是异构的，存在数据不互通、不同步、不一致，数据传递不及时、重复录入等问题，这严重阻碍了数据交换的正常进行，不利于及时排查与发现风险隐患，也不利于提高管理人员的工作质量与效率。据调研，国内各省份还未出台与大型游乐设施安全相关数据标准，因此，迫切需要制定大型游乐设施安全管理数据交换规范，实现全省大型游乐设施安全管理数据共建、共享，在海量数据支撑下，借助人工智能、大数据等主流技术，助力大型游乐设施产业持续高质量发展，减少事故发生，保障人们生命财产安全。</w:t>
      </w:r>
    </w:p>
    <w:p w14:paraId="632263A1"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编制《大型游乐设施安全管理数据交换规范》标准，是实现全省范围内大型游乐设施安全管理数据跨地域、跨业务、跨机构互通共享，发挥大型游乐设施信息数据效能的重要途径，对提升大型游乐设施数据的安全性、促进数据交换的便捷性和高效性、确保数据的准确性和一致性等方面具有重要意义。通过本标准，可以确保大型游乐设施的信息交换符合安全要求，减少安全漏洞和风险。大型游乐设施的安全数据交换涉及多个相关方的信息共享和沟通，如果没有统一的规范，各个方面的数据交换方</w:t>
      </w:r>
      <w:r>
        <w:rPr>
          <w:rFonts w:asciiTheme="minorEastAsia" w:eastAsiaTheme="minorEastAsia" w:hAnsiTheme="minorEastAsia" w:cstheme="minorEastAsia" w:hint="eastAsia"/>
          <w:sz w:val="24"/>
        </w:rPr>
        <w:lastRenderedPageBreak/>
        <w:t>式可能存在差异，导致数据无法准确传递，延误决策和问题的解决。规范化的数据交换可以提高数据交流的便捷性和高效性，减少信息传递的错误和误解。大型游乐设施的安全数据涉及各类技术参数、检验检测报告、设备记录等信息，这些数据的准确性和一致性对于设备的运行和维护至关重要。规范化的数据交换能够确保数据的准确性和一致性，避免数据错误和冲突的问题。对大型游乐设施的安全管理和运行维护产生积极地影响，提高特种设备行业的整体安全水平和效率。</w:t>
      </w:r>
    </w:p>
    <w:p w14:paraId="0A8A7A58" w14:textId="77777777" w:rsidR="0089258E" w:rsidRDefault="00000000">
      <w:pPr>
        <w:spacing w:line="360" w:lineRule="auto"/>
        <w:ind w:firstLineChars="200" w:firstLine="640"/>
        <w:outlineLvl w:val="0"/>
        <w:rPr>
          <w:rFonts w:ascii="黑体" w:eastAsia="黑体" w:hAnsi="黑体" w:cs="黑体" w:hint="eastAsia"/>
          <w:sz w:val="32"/>
          <w:szCs w:val="32"/>
        </w:rPr>
      </w:pPr>
      <w:r>
        <w:rPr>
          <w:rFonts w:ascii="黑体" w:eastAsia="黑体" w:hAnsi="黑体" w:cs="黑体" w:hint="eastAsia"/>
          <w:sz w:val="32"/>
          <w:szCs w:val="32"/>
        </w:rPr>
        <w:t>二、任务来源</w:t>
      </w:r>
    </w:p>
    <w:p w14:paraId="40FC1855"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为了打破</w:t>
      </w:r>
      <w:r w:rsidRPr="00D86352">
        <w:rPr>
          <w:rFonts w:asciiTheme="minorEastAsia" w:eastAsiaTheme="minorEastAsia" w:hAnsiTheme="minorEastAsia" w:cstheme="minorEastAsia" w:hint="eastAsia"/>
          <w:sz w:val="24"/>
        </w:rPr>
        <w:t>大型游乐设施安全管理的信息孤岛，提高大数据手机分析效率，强化设备预防性管理效能，进一步优化从设备采购到使用环节实现全过程信</w:t>
      </w:r>
      <w:r>
        <w:rPr>
          <w:rFonts w:asciiTheme="minorEastAsia" w:eastAsiaTheme="minorEastAsia" w:hAnsiTheme="minorEastAsia" w:cstheme="minorEastAsia" w:hint="eastAsia"/>
          <w:sz w:val="24"/>
        </w:rPr>
        <w:t>息化管理，2</w:t>
      </w:r>
      <w:r>
        <w:rPr>
          <w:rFonts w:asciiTheme="minorEastAsia" w:eastAsiaTheme="minorEastAsia" w:hAnsiTheme="minorEastAsia" w:cstheme="minorEastAsia"/>
          <w:sz w:val="24"/>
        </w:rPr>
        <w:t>020</w:t>
      </w:r>
      <w:r>
        <w:rPr>
          <w:rFonts w:asciiTheme="minorEastAsia" w:eastAsiaTheme="minorEastAsia" w:hAnsiTheme="minorEastAsia" w:cstheme="minorEastAsia" w:hint="eastAsia"/>
          <w:sz w:val="24"/>
        </w:rPr>
        <w:t>年江苏省特检院启动了大型游乐设施智慧监管服务平台建设。</w:t>
      </w:r>
    </w:p>
    <w:p w14:paraId="53063377" w14:textId="1E1C1456" w:rsidR="0089258E" w:rsidRDefault="00000000" w:rsidP="00E0731F">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202</w:t>
      </w:r>
      <w:r>
        <w:rPr>
          <w:rFonts w:asciiTheme="minorEastAsia" w:eastAsiaTheme="minorEastAsia" w:hAnsiTheme="minorEastAsia" w:cstheme="minorEastAsia"/>
          <w:sz w:val="24"/>
        </w:rPr>
        <w:t>1</w:t>
      </w:r>
      <w:r>
        <w:rPr>
          <w:rFonts w:asciiTheme="minorEastAsia" w:eastAsiaTheme="minorEastAsia" w:hAnsiTheme="minorEastAsia" w:cstheme="minorEastAsia" w:hint="eastAsia"/>
          <w:sz w:val="24"/>
        </w:rPr>
        <w:t>年至202</w:t>
      </w:r>
      <w:r>
        <w:rPr>
          <w:rFonts w:asciiTheme="minorEastAsia" w:eastAsiaTheme="minorEastAsia" w:hAnsiTheme="minorEastAsia" w:cstheme="minorEastAsia"/>
          <w:sz w:val="24"/>
        </w:rPr>
        <w:t>2</w:t>
      </w:r>
      <w:r>
        <w:rPr>
          <w:rFonts w:asciiTheme="minorEastAsia" w:eastAsiaTheme="minorEastAsia" w:hAnsiTheme="minorEastAsia" w:cstheme="minorEastAsia" w:hint="eastAsia"/>
          <w:sz w:val="24"/>
        </w:rPr>
        <w:t>年间，在大型游乐设施智慧监管服务平台应用推广过程中，收集了大量与大型游乐设施监管单位、使用单位等组织机构的数据对接需求</w:t>
      </w:r>
      <w:r w:rsidR="00E0731F">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根据大型游乐设施安全管理数据交换需求，编制并提交了《大型游乐设施安全管理数据交换规范》。</w:t>
      </w:r>
      <w:r w:rsidR="006E6528" w:rsidRPr="006E6528">
        <w:rPr>
          <w:rFonts w:asciiTheme="minorEastAsia" w:eastAsiaTheme="minorEastAsia" w:hAnsiTheme="minorEastAsia" w:cstheme="minorEastAsia" w:hint="eastAsia"/>
          <w:sz w:val="24"/>
        </w:rPr>
        <w:t>2022年初，江苏省市场监管局组织开展了2023年度省地方标准立项征集工作，为响应省市场监管局要求，依据《省市场监管局关于下达2023年度江苏省地方标准项目计划的通知》（苏市监标[2023〕173号），对标准进行了立项</w:t>
      </w:r>
      <w:r w:rsidR="006E6528">
        <w:rPr>
          <w:rFonts w:asciiTheme="minorEastAsia" w:eastAsiaTheme="minorEastAsia" w:hAnsiTheme="minorEastAsia" w:cstheme="minorEastAsia" w:hint="eastAsia"/>
          <w:sz w:val="24"/>
        </w:rPr>
        <w:t>。</w:t>
      </w:r>
    </w:p>
    <w:p w14:paraId="227562C2"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大型游乐设施智慧监管服务平台运用物联网、大数据等现代信息技术，及时掌握游乐设施运行环境、运行状态等数据，有效指导并督促使用单位切实落实安全主体责任。推进游乐设施使用单位落实双重预防机制，实现风险预警工作，不断提升游乐设施使用单位管理能力，提升监管部门监管能力。</w:t>
      </w:r>
    </w:p>
    <w:p w14:paraId="4E78BFA6"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截止今年</w:t>
      </w:r>
      <w:r>
        <w:rPr>
          <w:rFonts w:asciiTheme="minorEastAsia" w:eastAsiaTheme="minorEastAsia" w:hAnsiTheme="minorEastAsia" w:cstheme="minorEastAsia"/>
          <w:sz w:val="24"/>
        </w:rPr>
        <w:t>8</w:t>
      </w:r>
      <w:r>
        <w:rPr>
          <w:rFonts w:asciiTheme="minorEastAsia" w:eastAsiaTheme="minorEastAsia" w:hAnsiTheme="minorEastAsia" w:cstheme="minorEastAsia" w:hint="eastAsia"/>
          <w:sz w:val="24"/>
        </w:rPr>
        <w:t>月，江苏省大型游乐设施智慧安全服务平台已接入全省178家大型游乐设施使用单位，累计归集1154台游乐设施，张贴3070张安全检查芯片、接入监控169路，张贴公共服务标识牌34张，累计完成40余万次安全检查。</w:t>
      </w:r>
    </w:p>
    <w:p w14:paraId="24A2ABFC"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202</w:t>
      </w:r>
      <w:r>
        <w:rPr>
          <w:rFonts w:asciiTheme="minorEastAsia" w:eastAsiaTheme="minorEastAsia" w:hAnsiTheme="minorEastAsia" w:cstheme="minorEastAsia"/>
          <w:sz w:val="24"/>
        </w:rPr>
        <w:t>3</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sz w:val="24"/>
        </w:rPr>
        <w:t>7</w:t>
      </w:r>
      <w:r>
        <w:rPr>
          <w:rFonts w:asciiTheme="minorEastAsia" w:eastAsiaTheme="minorEastAsia" w:hAnsiTheme="minorEastAsia" w:cstheme="minorEastAsia" w:hint="eastAsia"/>
          <w:sz w:val="24"/>
        </w:rPr>
        <w:t>月，《大型游乐设施安全管理数据交换规范》由江苏省市场监管局立项公示。</w:t>
      </w:r>
    </w:p>
    <w:p w14:paraId="564384B9" w14:textId="77777777" w:rsidR="0089258E" w:rsidRDefault="00000000">
      <w:pPr>
        <w:spacing w:line="360" w:lineRule="auto"/>
        <w:ind w:firstLineChars="200" w:firstLine="640"/>
        <w:outlineLvl w:val="0"/>
        <w:rPr>
          <w:rFonts w:ascii="黑体" w:eastAsia="黑体" w:hAnsi="黑体" w:cs="黑体" w:hint="eastAsia"/>
          <w:sz w:val="32"/>
          <w:szCs w:val="32"/>
        </w:rPr>
      </w:pPr>
      <w:r>
        <w:rPr>
          <w:rFonts w:ascii="黑体" w:eastAsia="黑体" w:hAnsi="黑体" w:cs="黑体" w:hint="eastAsia"/>
          <w:sz w:val="32"/>
          <w:szCs w:val="32"/>
        </w:rPr>
        <w:t>三、编制过程</w:t>
      </w:r>
    </w:p>
    <w:p w14:paraId="0D08B569" w14:textId="0804C05D"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202</w:t>
      </w:r>
      <w:r>
        <w:rPr>
          <w:rFonts w:asciiTheme="minorEastAsia" w:eastAsiaTheme="minorEastAsia" w:hAnsiTheme="minorEastAsia" w:cstheme="minorEastAsia"/>
          <w:sz w:val="24"/>
        </w:rPr>
        <w:t>2</w:t>
      </w:r>
      <w:r>
        <w:rPr>
          <w:rFonts w:asciiTheme="minorEastAsia" w:eastAsiaTheme="minorEastAsia" w:hAnsiTheme="minorEastAsia" w:cstheme="minorEastAsia" w:hint="eastAsia"/>
          <w:sz w:val="24"/>
        </w:rPr>
        <w:t>年3月江苏省特种设备安全监督检验研究院通过信息化管理中心提出编制</w:t>
      </w:r>
      <w:r>
        <w:rPr>
          <w:rFonts w:asciiTheme="minorEastAsia" w:eastAsiaTheme="minorEastAsia" w:hAnsiTheme="minorEastAsia" w:cstheme="minorEastAsia" w:hint="eastAsia"/>
          <w:sz w:val="24"/>
        </w:rPr>
        <w:lastRenderedPageBreak/>
        <w:t>地方标准《大型游乐设施安全管理数据交换规范》并进行前期调研，202</w:t>
      </w:r>
      <w:r>
        <w:rPr>
          <w:rFonts w:asciiTheme="minorEastAsia" w:eastAsiaTheme="minorEastAsia" w:hAnsiTheme="minorEastAsia" w:cstheme="minorEastAsia"/>
          <w:sz w:val="24"/>
        </w:rPr>
        <w:t>3</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sz w:val="24"/>
        </w:rPr>
        <w:t>7</w:t>
      </w:r>
      <w:r>
        <w:rPr>
          <w:rFonts w:asciiTheme="minorEastAsia" w:eastAsiaTheme="minorEastAsia" w:hAnsiTheme="minorEastAsia" w:cstheme="minorEastAsia" w:hint="eastAsia"/>
          <w:sz w:val="24"/>
        </w:rPr>
        <w:t>月该标准正式由江苏省市场监管局立项公示，并成立标准起草组，主要编制过程如下</w:t>
      </w:r>
      <w:r w:rsidR="00EF4EE3">
        <w:rPr>
          <w:rFonts w:asciiTheme="minorEastAsia" w:eastAsiaTheme="minorEastAsia" w:hAnsiTheme="minorEastAsia" w:cstheme="minorEastAsia" w:hint="eastAsia"/>
          <w:sz w:val="24"/>
        </w:rPr>
        <w:t>：</w:t>
      </w:r>
    </w:p>
    <w:p w14:paraId="222441EE"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(1)前期项目调研阶段</w:t>
      </w:r>
    </w:p>
    <w:p w14:paraId="6402178F"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202</w:t>
      </w:r>
      <w:r>
        <w:rPr>
          <w:rFonts w:asciiTheme="minorEastAsia" w:eastAsiaTheme="minorEastAsia" w:hAnsiTheme="minorEastAsia" w:cstheme="minorEastAsia"/>
          <w:sz w:val="24"/>
        </w:rPr>
        <w:t>2</w:t>
      </w:r>
      <w:r>
        <w:rPr>
          <w:rFonts w:asciiTheme="minorEastAsia" w:eastAsiaTheme="minorEastAsia" w:hAnsiTheme="minorEastAsia" w:cstheme="minorEastAsia" w:hint="eastAsia"/>
          <w:sz w:val="24"/>
        </w:rPr>
        <w:t>年至202</w:t>
      </w:r>
      <w:r>
        <w:rPr>
          <w:rFonts w:asciiTheme="minorEastAsia" w:eastAsiaTheme="minorEastAsia" w:hAnsiTheme="minorEastAsia" w:cstheme="minorEastAsia"/>
          <w:sz w:val="24"/>
        </w:rPr>
        <w:t>3</w:t>
      </w:r>
      <w:r>
        <w:rPr>
          <w:rFonts w:asciiTheme="minorEastAsia" w:eastAsiaTheme="minorEastAsia" w:hAnsiTheme="minorEastAsia" w:cstheme="minorEastAsia" w:hint="eastAsia"/>
          <w:sz w:val="24"/>
        </w:rPr>
        <w:t>年间，大型游乐设施智慧监管服务平台在全省范围内进行推广应用，为实现各单位之间数据的交互，需要建立一套统一的数据对接标准规范。</w:t>
      </w:r>
    </w:p>
    <w:p w14:paraId="3F4EA975"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(2)标准起草阶段</w:t>
      </w:r>
    </w:p>
    <w:p w14:paraId="47C7C58B"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202</w:t>
      </w:r>
      <w:r>
        <w:rPr>
          <w:rFonts w:asciiTheme="minorEastAsia" w:eastAsiaTheme="minorEastAsia" w:hAnsiTheme="minorEastAsia" w:cstheme="minorEastAsia"/>
          <w:sz w:val="24"/>
        </w:rPr>
        <w:t>3</w:t>
      </w:r>
      <w:r>
        <w:rPr>
          <w:rFonts w:asciiTheme="minorEastAsia" w:eastAsiaTheme="minorEastAsia" w:hAnsiTheme="minorEastAsia" w:cstheme="minorEastAsia" w:hint="eastAsia"/>
          <w:sz w:val="24"/>
        </w:rPr>
        <w:t>年2月至3月，江苏省特种设备安全监督检验研究院通过整理与各级监管部门、行业检测机构、企业等相关自建系统的数据对接经验，初步形成了一套数据对接规范，形成了“大型游乐设施安全管理数据交换规范”标准的草案，并开展地方标准的立项申报。</w:t>
      </w:r>
    </w:p>
    <w:p w14:paraId="55F24FBE"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202</w:t>
      </w:r>
      <w:r>
        <w:rPr>
          <w:rFonts w:asciiTheme="minorEastAsia" w:eastAsiaTheme="minorEastAsia" w:hAnsiTheme="minorEastAsia" w:cstheme="minorEastAsia"/>
          <w:sz w:val="24"/>
        </w:rPr>
        <w:t>3</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sz w:val="24"/>
        </w:rPr>
        <w:t>7</w:t>
      </w:r>
      <w:r>
        <w:rPr>
          <w:rFonts w:asciiTheme="minorEastAsia" w:eastAsiaTheme="minorEastAsia" w:hAnsiTheme="minorEastAsia" w:cstheme="minorEastAsia" w:hint="eastAsia"/>
          <w:sz w:val="24"/>
        </w:rPr>
        <w:t>月至12月，“大型游乐设施安全管理数据交换规范”由江苏省市场监督管理局立项公示。随后江苏省特种设备安全监督检验研究院组织了“大型游乐设施安全管理数据交换规范”地方标准的编制组，组织特种设备各专业技术人员及信息化专业技术人员多次开展标准草案的研讨，以游乐设施相关安全规范（《大型游乐设施安全规范》（</w:t>
      </w:r>
      <w:r>
        <w:rPr>
          <w:rFonts w:asciiTheme="minorEastAsia" w:eastAsiaTheme="minorEastAsia" w:hAnsiTheme="minorEastAsia" w:cstheme="minorEastAsia"/>
          <w:sz w:val="24"/>
        </w:rPr>
        <w:t>GB 8408-2018）</w:t>
      </w:r>
      <w:r>
        <w:rPr>
          <w:rFonts w:asciiTheme="minorEastAsia" w:eastAsiaTheme="minorEastAsia" w:hAnsiTheme="minorEastAsia" w:cstheme="minorEastAsia" w:hint="eastAsia"/>
          <w:sz w:val="24"/>
        </w:rPr>
        <w:t>、TSG 71-2023 大型游乐设施安全技术规程等）为依据，反复对标准草案进行修改完善，形成了标准讨论稿。</w:t>
      </w:r>
    </w:p>
    <w:p w14:paraId="4BEA1B97"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(3)专家研讨、意见征求阶段</w:t>
      </w:r>
    </w:p>
    <w:p w14:paraId="6F315B73"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202</w:t>
      </w:r>
      <w:r>
        <w:rPr>
          <w:rFonts w:asciiTheme="minorEastAsia" w:eastAsiaTheme="minorEastAsia" w:hAnsiTheme="minorEastAsia" w:cstheme="minorEastAsia"/>
          <w:sz w:val="24"/>
        </w:rPr>
        <w:t>4</w:t>
      </w:r>
      <w:r>
        <w:rPr>
          <w:rFonts w:asciiTheme="minorEastAsia" w:eastAsiaTheme="minorEastAsia" w:hAnsiTheme="minorEastAsia" w:cstheme="minorEastAsia" w:hint="eastAsia"/>
          <w:sz w:val="24"/>
        </w:rPr>
        <w:t>年1月至3月，编制组组织中博信息技术研究院有限公司、南京华侨城实业发展有限公司、嬉戏族集团有限公司、苏州高新（徐州）商旅发展有限公司、华谊影城（苏州）有限公司等单位召开了多轮专家评审会议，对标准逐章逐条进行了认真细致地研讨，就标准部分内容提出具体的修改意见，编制组根据修改意见进行了逐项完善，形成了征求意见稿。</w:t>
      </w:r>
    </w:p>
    <w:p w14:paraId="538E44AF"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202</w:t>
      </w:r>
      <w:r>
        <w:rPr>
          <w:rFonts w:asciiTheme="minorEastAsia" w:eastAsiaTheme="minorEastAsia" w:hAnsiTheme="minorEastAsia" w:cstheme="minorEastAsia"/>
          <w:sz w:val="24"/>
        </w:rPr>
        <w:t>4</w:t>
      </w:r>
      <w:r>
        <w:rPr>
          <w:rFonts w:asciiTheme="minorEastAsia" w:eastAsiaTheme="minorEastAsia" w:hAnsiTheme="minorEastAsia" w:cstheme="minorEastAsia" w:hint="eastAsia"/>
          <w:sz w:val="24"/>
        </w:rPr>
        <w:t>年</w:t>
      </w:r>
      <w:r>
        <w:rPr>
          <w:rFonts w:asciiTheme="minorEastAsia" w:eastAsiaTheme="minorEastAsia" w:hAnsiTheme="minorEastAsia" w:cstheme="minorEastAsia"/>
          <w:sz w:val="24"/>
        </w:rPr>
        <w:t>5</w:t>
      </w:r>
      <w:r>
        <w:rPr>
          <w:rFonts w:asciiTheme="minorEastAsia" w:eastAsiaTheme="minorEastAsia" w:hAnsiTheme="minorEastAsia" w:cstheme="minorEastAsia" w:hint="eastAsia"/>
          <w:sz w:val="24"/>
        </w:rPr>
        <w:t>月</w:t>
      </w:r>
      <w:r>
        <w:rPr>
          <w:rFonts w:asciiTheme="minorEastAsia" w:eastAsiaTheme="minorEastAsia" w:hAnsiTheme="minorEastAsia" w:cstheme="minorEastAsia"/>
          <w:sz w:val="24"/>
        </w:rPr>
        <w:t>13</w:t>
      </w:r>
      <w:r>
        <w:rPr>
          <w:rFonts w:asciiTheme="minorEastAsia" w:eastAsiaTheme="minorEastAsia" w:hAnsiTheme="minorEastAsia" w:cstheme="minorEastAsia" w:hint="eastAsia"/>
          <w:sz w:val="24"/>
        </w:rPr>
        <w:t>日，《大型游乐设施安全管理数据交换规范》（征求意见稿）在江苏省特种设备安全监督检验研究院网站上向社会公开征求意见。</w:t>
      </w:r>
    </w:p>
    <w:p w14:paraId="13EDDBCC" w14:textId="07C67330"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202</w:t>
      </w:r>
      <w:r>
        <w:rPr>
          <w:rFonts w:asciiTheme="minorEastAsia" w:eastAsiaTheme="minorEastAsia" w:hAnsiTheme="minorEastAsia" w:cstheme="minorEastAsia"/>
          <w:sz w:val="24"/>
        </w:rPr>
        <w:t>4</w:t>
      </w:r>
      <w:r>
        <w:rPr>
          <w:rFonts w:asciiTheme="minorEastAsia" w:eastAsiaTheme="minorEastAsia" w:hAnsiTheme="minorEastAsia" w:cstheme="minorEastAsia" w:hint="eastAsia"/>
          <w:sz w:val="24"/>
        </w:rPr>
        <w:t>年7月份，编制组对征求到的意见进行处理，共征求到3</w:t>
      </w:r>
      <w:r w:rsidR="00033193">
        <w:rPr>
          <w:rFonts w:asciiTheme="minorEastAsia" w:eastAsiaTheme="minorEastAsia" w:hAnsiTheme="minorEastAsia" w:cstheme="minorEastAsia" w:hint="eastAsia"/>
          <w:sz w:val="24"/>
        </w:rPr>
        <w:t>8</w:t>
      </w:r>
      <w:r>
        <w:rPr>
          <w:rFonts w:asciiTheme="minorEastAsia" w:eastAsiaTheme="minorEastAsia" w:hAnsiTheme="minorEastAsia" w:cstheme="minorEastAsia" w:hint="eastAsia"/>
          <w:sz w:val="24"/>
        </w:rPr>
        <w:t>条意见，完全采纳3</w:t>
      </w:r>
      <w:r w:rsidR="00033193">
        <w:rPr>
          <w:rFonts w:asciiTheme="minorEastAsia" w:eastAsiaTheme="minorEastAsia" w:hAnsiTheme="minorEastAsia" w:cstheme="minorEastAsia" w:hint="eastAsia"/>
          <w:sz w:val="24"/>
        </w:rPr>
        <w:t>7</w:t>
      </w:r>
      <w:r>
        <w:rPr>
          <w:rFonts w:asciiTheme="minorEastAsia" w:eastAsiaTheme="minorEastAsia" w:hAnsiTheme="minorEastAsia" w:cstheme="minorEastAsia" w:hint="eastAsia"/>
          <w:sz w:val="24"/>
        </w:rPr>
        <w:t>条，不采纳</w:t>
      </w:r>
      <w:r>
        <w:rPr>
          <w:rFonts w:asciiTheme="minorEastAsia" w:eastAsiaTheme="minorEastAsia" w:hAnsiTheme="minorEastAsia" w:cstheme="minorEastAsia"/>
          <w:sz w:val="24"/>
        </w:rPr>
        <w:t>1</w:t>
      </w:r>
      <w:r>
        <w:rPr>
          <w:rFonts w:asciiTheme="minorEastAsia" w:eastAsiaTheme="minorEastAsia" w:hAnsiTheme="minorEastAsia" w:cstheme="minorEastAsia" w:hint="eastAsia"/>
          <w:sz w:val="24"/>
        </w:rPr>
        <w:t>条。编制组根据意见处理情况，再次召开了专家评审会议，对标准征求意见稿进行了修改，正式形成了送审稿。</w:t>
      </w:r>
    </w:p>
    <w:p w14:paraId="2715DC01"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lastRenderedPageBreak/>
        <w:t>(4)送审稿专家评审阶段</w:t>
      </w:r>
    </w:p>
    <w:p w14:paraId="0CA5E35D"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经充分征求意见后，本标准由江苏省特种设备安全监督检验研究院组织召开地方标准送审稿专家评审会。邀请了中博信息技术研究院有限公司、苏州高新（徐州）商旅发展有限公司、淮安西游乐园有限公司、嬉戏族集团有限公司4家单位的专家组成评审组。评审组经最终讨论，形成了12条会议意见。</w:t>
      </w:r>
    </w:p>
    <w:p w14:paraId="33BA4C2A"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起草单位根据会议意见对本标准进行修订，于2024年</w:t>
      </w:r>
      <w:r>
        <w:rPr>
          <w:rFonts w:asciiTheme="minorEastAsia" w:eastAsiaTheme="minorEastAsia" w:hAnsiTheme="minorEastAsia" w:cstheme="minorEastAsia"/>
          <w:sz w:val="24"/>
        </w:rPr>
        <w:t>9</w:t>
      </w:r>
      <w:r>
        <w:rPr>
          <w:rFonts w:asciiTheme="minorEastAsia" w:eastAsiaTheme="minorEastAsia" w:hAnsiTheme="minorEastAsia" w:cstheme="minorEastAsia" w:hint="eastAsia"/>
          <w:sz w:val="24"/>
        </w:rPr>
        <w:t>月提交送审稿。</w:t>
      </w:r>
    </w:p>
    <w:p w14:paraId="5BCA9EC9" w14:textId="77777777" w:rsidR="0089258E" w:rsidRDefault="00000000">
      <w:pPr>
        <w:spacing w:line="360" w:lineRule="auto"/>
        <w:ind w:firstLineChars="200" w:firstLine="640"/>
        <w:outlineLvl w:val="0"/>
        <w:rPr>
          <w:rFonts w:ascii="黑体" w:eastAsia="黑体" w:hAnsi="黑体" w:cs="黑体" w:hint="eastAsia"/>
          <w:sz w:val="32"/>
          <w:szCs w:val="32"/>
        </w:rPr>
      </w:pPr>
      <w:r>
        <w:rPr>
          <w:rFonts w:ascii="黑体" w:eastAsia="黑体" w:hAnsi="黑体" w:cs="黑体" w:hint="eastAsia"/>
          <w:sz w:val="32"/>
          <w:szCs w:val="32"/>
        </w:rPr>
        <w:t>四、主要内容和技术指标确立</w:t>
      </w:r>
    </w:p>
    <w:p w14:paraId="073A6741"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本标准的编制遵循“先进性、实用性、统一性、规范性”的原则，注重标准的可操作性，确保标准起草工作的科学性、真实性、规范性。编制组由特种设备监管机构、检验检测机构、特种生产使用等单位的人员组成。在标准的编写过程中，编制组进行了大量的调查研究、试点运用、充分讨论、征求意见工作，在《大型游乐设施安全管理数据交换规范》中规定了大型游乐设施安全管理数据交换基本要求的术语和定义、基础数据元、数据交换、数据格式定义，并且不断地修改标准的内容。</w:t>
      </w:r>
    </w:p>
    <w:p w14:paraId="5B1347A1"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本标准中的主要内容制定依据包括：</w:t>
      </w:r>
    </w:p>
    <w:p w14:paraId="6AD806B1"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 范围</w:t>
      </w:r>
    </w:p>
    <w:p w14:paraId="45586D82"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本文件规定了大型游乐设施安全管理数据交换规范的术语和定义、总体要求、基础数据元和数据格式定义。</w:t>
      </w:r>
    </w:p>
    <w:p w14:paraId="0428885F"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本文件适用于各级大型游乐设施安全管理部门信息系统之间，以及各级大型游乐设施安全管理部门信息系统与各大型游乐设施使用单位信息系统之间的数据交换过程。</w:t>
      </w:r>
    </w:p>
    <w:p w14:paraId="327E49DB"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 规范性引用文件</w:t>
      </w:r>
    </w:p>
    <w:p w14:paraId="76E14FDB"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CC16FB5"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GB/T 2260  中华人民共和国行政区划代码</w:t>
      </w:r>
    </w:p>
    <w:p w14:paraId="63E742DA"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GB/T 7408 数据元和交换格式 信息交换 日期和时间表示法</w:t>
      </w:r>
    </w:p>
    <w:p w14:paraId="27A2226F"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GB 32100  法人和其他组织统一社会信用代码编码规则</w:t>
      </w:r>
    </w:p>
    <w:p w14:paraId="6194CDAE"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lastRenderedPageBreak/>
        <w:t>GB 35114-2017 公共安全视频监控联网信息安全技术要求</w:t>
      </w:r>
    </w:p>
    <w:p w14:paraId="6463A39E"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 术语和定义</w:t>
      </w:r>
    </w:p>
    <w:p w14:paraId="125FAEC7" w14:textId="6D7634D8"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本文件定义了大型游乐设施安全管理数据</w:t>
      </w:r>
      <w:r w:rsidR="00F93740">
        <w:rPr>
          <w:rFonts w:asciiTheme="minorEastAsia" w:eastAsiaTheme="minorEastAsia" w:hAnsiTheme="minorEastAsia" w:cstheme="minorEastAsia" w:hint="eastAsia"/>
          <w:sz w:val="24"/>
        </w:rPr>
        <w:t>、</w:t>
      </w:r>
      <w:r w:rsidR="00F93740" w:rsidRPr="00F93740">
        <w:rPr>
          <w:rFonts w:asciiTheme="minorEastAsia" w:eastAsiaTheme="minorEastAsia" w:hAnsiTheme="minorEastAsia" w:cstheme="minorEastAsia" w:hint="eastAsia"/>
          <w:sz w:val="24"/>
        </w:rPr>
        <w:t>应急演练数据</w:t>
      </w:r>
      <w:r w:rsidR="00F93740" w:rsidRPr="00F93740">
        <w:rPr>
          <w:rFonts w:asciiTheme="minorEastAsia" w:eastAsiaTheme="minorEastAsia" w:hAnsiTheme="minorEastAsia" w:cstheme="minorEastAsia" w:hint="eastAsia"/>
          <w:sz w:val="24"/>
        </w:rPr>
        <w:t>、</w:t>
      </w:r>
      <w:r w:rsidR="00F93740" w:rsidRPr="00F93740">
        <w:rPr>
          <w:rFonts w:asciiTheme="minorEastAsia" w:eastAsiaTheme="minorEastAsia" w:hAnsiTheme="minorEastAsia" w:cstheme="minorEastAsia" w:hint="eastAsia"/>
          <w:sz w:val="24"/>
        </w:rPr>
        <w:t>监督检查数据</w:t>
      </w:r>
      <w:r>
        <w:rPr>
          <w:rFonts w:asciiTheme="minorEastAsia" w:eastAsiaTheme="minorEastAsia" w:hAnsiTheme="minorEastAsia" w:cstheme="minorEastAsia" w:hint="eastAsia"/>
          <w:sz w:val="24"/>
        </w:rPr>
        <w:t>所涉及的术语。</w:t>
      </w:r>
    </w:p>
    <w:p w14:paraId="41E3AD4D" w14:textId="311C9E31"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 xml:space="preserve">4 </w:t>
      </w:r>
      <w:r w:rsidR="00D86352">
        <w:rPr>
          <w:rFonts w:asciiTheme="minorEastAsia" w:eastAsiaTheme="minorEastAsia" w:hAnsiTheme="minorEastAsia" w:cstheme="minorEastAsia" w:hint="eastAsia"/>
          <w:sz w:val="24"/>
        </w:rPr>
        <w:t>基本</w:t>
      </w:r>
      <w:r>
        <w:rPr>
          <w:rFonts w:asciiTheme="minorEastAsia" w:eastAsiaTheme="minorEastAsia" w:hAnsiTheme="minorEastAsia" w:cstheme="minorEastAsia" w:hint="eastAsia"/>
          <w:sz w:val="24"/>
        </w:rPr>
        <w:t>要求</w:t>
      </w:r>
    </w:p>
    <w:p w14:paraId="677F596F" w14:textId="5C13FC3F"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本章主要制订了数据交换</w:t>
      </w:r>
      <w:r w:rsidR="00824EDB">
        <w:rPr>
          <w:rFonts w:asciiTheme="minorEastAsia" w:eastAsiaTheme="minorEastAsia" w:hAnsiTheme="minorEastAsia" w:cstheme="minorEastAsia" w:hint="eastAsia"/>
          <w:sz w:val="24"/>
        </w:rPr>
        <w:t>方式</w:t>
      </w:r>
      <w:r w:rsidR="008F184C">
        <w:rPr>
          <w:rFonts w:asciiTheme="minorEastAsia" w:eastAsiaTheme="minorEastAsia" w:hAnsiTheme="minorEastAsia" w:cstheme="minorEastAsia" w:hint="eastAsia"/>
          <w:sz w:val="24"/>
        </w:rPr>
        <w:t>、</w:t>
      </w:r>
      <w:r>
        <w:rPr>
          <w:rFonts w:asciiTheme="minorEastAsia" w:eastAsiaTheme="minorEastAsia" w:hAnsiTheme="minorEastAsia" w:cstheme="minorEastAsia" w:hint="eastAsia"/>
          <w:sz w:val="24"/>
        </w:rPr>
        <w:t>通信协议、</w:t>
      </w:r>
      <w:r w:rsidR="0007502B">
        <w:rPr>
          <w:rFonts w:asciiTheme="minorEastAsia" w:eastAsiaTheme="minorEastAsia" w:hAnsiTheme="minorEastAsia" w:cstheme="minorEastAsia" w:hint="eastAsia"/>
          <w:sz w:val="24"/>
        </w:rPr>
        <w:t>身份验证方式、</w:t>
      </w:r>
      <w:r>
        <w:rPr>
          <w:rFonts w:asciiTheme="minorEastAsia" w:eastAsiaTheme="minorEastAsia" w:hAnsiTheme="minorEastAsia" w:cstheme="minorEastAsia" w:hint="eastAsia"/>
          <w:sz w:val="24"/>
        </w:rPr>
        <w:t>消息结构等相关内容。</w:t>
      </w:r>
    </w:p>
    <w:p w14:paraId="7F2EDC5E"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5 基础数据元</w:t>
      </w:r>
    </w:p>
    <w:p w14:paraId="05BE23CE" w14:textId="4CB13FCB"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本章主要制订了</w:t>
      </w:r>
      <w:r w:rsidR="000F77B4">
        <w:rPr>
          <w:rFonts w:asciiTheme="minorEastAsia" w:eastAsiaTheme="minorEastAsia" w:hAnsiTheme="minorEastAsia" w:cstheme="minorEastAsia" w:hint="eastAsia"/>
          <w:sz w:val="24"/>
        </w:rPr>
        <w:t>基础数据元</w:t>
      </w:r>
      <w:r>
        <w:rPr>
          <w:rFonts w:asciiTheme="minorEastAsia" w:eastAsiaTheme="minorEastAsia" w:hAnsiTheme="minorEastAsia" w:cstheme="minorEastAsia" w:hint="eastAsia"/>
          <w:sz w:val="24"/>
        </w:rPr>
        <w:t>的数据格式。</w:t>
      </w:r>
    </w:p>
    <w:p w14:paraId="76854E2B"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6 数据格式定义</w:t>
      </w:r>
    </w:p>
    <w:p w14:paraId="0E21AB9C" w14:textId="62810295"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本章主要定义了大型游乐设施安全管理数据交换的相关数据</w:t>
      </w:r>
      <w:r w:rsidR="003B1230">
        <w:rPr>
          <w:rFonts w:asciiTheme="minorEastAsia" w:eastAsiaTheme="minorEastAsia" w:hAnsiTheme="minorEastAsia" w:cstheme="minorEastAsia" w:hint="eastAsia"/>
          <w:sz w:val="24"/>
        </w:rPr>
        <w:t>格式定义</w:t>
      </w:r>
      <w:r>
        <w:rPr>
          <w:rFonts w:asciiTheme="minorEastAsia" w:eastAsiaTheme="minorEastAsia" w:hAnsiTheme="minorEastAsia" w:cstheme="minorEastAsia" w:hint="eastAsia"/>
          <w:sz w:val="24"/>
        </w:rPr>
        <w:t>。</w:t>
      </w:r>
    </w:p>
    <w:p w14:paraId="6697E11B" w14:textId="77777777" w:rsidR="0089258E" w:rsidRDefault="00000000">
      <w:pPr>
        <w:spacing w:line="360" w:lineRule="auto"/>
        <w:ind w:firstLineChars="200" w:firstLine="640"/>
        <w:outlineLvl w:val="0"/>
        <w:rPr>
          <w:rFonts w:ascii="黑体" w:eastAsia="黑体" w:hAnsi="黑体" w:cs="黑体" w:hint="eastAsia"/>
          <w:sz w:val="32"/>
          <w:szCs w:val="32"/>
        </w:rPr>
      </w:pPr>
      <w:r>
        <w:rPr>
          <w:rFonts w:ascii="黑体" w:eastAsia="黑体" w:hAnsi="黑体" w:cs="黑体" w:hint="eastAsia"/>
          <w:sz w:val="32"/>
          <w:szCs w:val="32"/>
        </w:rPr>
        <w:t>五、与相关法律法规和国家标准的关系</w:t>
      </w:r>
    </w:p>
    <w:p w14:paraId="6BA3C75C" w14:textId="77777777" w:rsidR="0089258E" w:rsidRDefault="00000000">
      <w:pPr>
        <w:spacing w:line="360" w:lineRule="auto"/>
        <w:ind w:firstLineChars="200" w:firstLine="480"/>
        <w:rPr>
          <w:rFonts w:asciiTheme="minorEastAsia" w:eastAsiaTheme="minorEastAsia" w:hAnsiTheme="minorEastAsia" w:cstheme="minorEastAsia" w:hint="eastAsia"/>
          <w:sz w:val="24"/>
          <w:shd w:val="clear" w:color="auto" w:fill="DBE5F1" w:themeFill="accent1" w:themeFillTint="33"/>
        </w:rPr>
      </w:pPr>
      <w:r>
        <w:rPr>
          <w:rFonts w:asciiTheme="minorEastAsia" w:eastAsiaTheme="minorEastAsia" w:hAnsiTheme="minorEastAsia" w:cstheme="minorEastAsia" w:hint="eastAsia"/>
          <w:sz w:val="24"/>
        </w:rPr>
        <w:t>本标准制订符合国家的有关法律法规，标准的编写重点按照GB 1.1-2020《标准化工作导则：标准化文件的结构和起草规则》以及GB/T 18391.1-2009《信息技术数据元的规范与标准化（idt ISO/IEC 11179:1994）》的规定。</w:t>
      </w:r>
    </w:p>
    <w:p w14:paraId="05240C9C"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在编制组编写标准的过程中，进行了大量的调查研究、实际测试、充分讨论、征求意见，使标准的规定既符合特种设备数据安全交换的实际需要。</w:t>
      </w:r>
    </w:p>
    <w:p w14:paraId="53047DA2" w14:textId="77777777" w:rsidR="0089258E" w:rsidRDefault="00000000">
      <w:pPr>
        <w:spacing w:line="360" w:lineRule="auto"/>
        <w:ind w:firstLineChars="200" w:firstLine="640"/>
        <w:outlineLvl w:val="0"/>
        <w:rPr>
          <w:rFonts w:ascii="黑体" w:eastAsia="黑体" w:hAnsi="黑体" w:cs="黑体" w:hint="eastAsia"/>
          <w:sz w:val="32"/>
          <w:szCs w:val="32"/>
        </w:rPr>
      </w:pPr>
      <w:r>
        <w:rPr>
          <w:rFonts w:ascii="黑体" w:eastAsia="黑体" w:hAnsi="黑体" w:cs="黑体" w:hint="eastAsia"/>
          <w:sz w:val="32"/>
          <w:szCs w:val="32"/>
        </w:rPr>
        <w:t>六、实施推广建议</w:t>
      </w:r>
    </w:p>
    <w:p w14:paraId="6E549C32" w14:textId="43659AA4"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本标准是为解决</w:t>
      </w:r>
      <w:r w:rsidR="005732DF">
        <w:rPr>
          <w:rFonts w:asciiTheme="minorEastAsia" w:eastAsiaTheme="minorEastAsia" w:hAnsiTheme="minorEastAsia" w:cstheme="minorEastAsia" w:hint="eastAsia"/>
          <w:sz w:val="24"/>
        </w:rPr>
        <w:t>大型游乐设施安全</w:t>
      </w:r>
      <w:r>
        <w:rPr>
          <w:rFonts w:asciiTheme="minorEastAsia" w:eastAsiaTheme="minorEastAsia" w:hAnsiTheme="minorEastAsia" w:cstheme="minorEastAsia" w:hint="eastAsia"/>
          <w:sz w:val="24"/>
        </w:rPr>
        <w:t>管理系统及相关</w:t>
      </w:r>
      <w:r w:rsidR="005732DF">
        <w:rPr>
          <w:rFonts w:asciiTheme="minorEastAsia" w:eastAsiaTheme="minorEastAsia" w:hAnsiTheme="minorEastAsia" w:cstheme="minorEastAsia" w:hint="eastAsia"/>
          <w:sz w:val="24"/>
        </w:rPr>
        <w:t>监管</w:t>
      </w:r>
      <w:r>
        <w:rPr>
          <w:rFonts w:asciiTheme="minorEastAsia" w:eastAsiaTheme="minorEastAsia" w:hAnsiTheme="minorEastAsia" w:cstheme="minorEastAsia" w:hint="eastAsia"/>
          <w:sz w:val="24"/>
        </w:rPr>
        <w:t>部门数据交换与共享需求而提出的一种信息技术标准，因此建议在以下部门业务系统数据信息交换中采用本标准。</w:t>
      </w:r>
    </w:p>
    <w:p w14:paraId="3EF91D08"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本标准可以供以下单位参考、使用：</w:t>
      </w:r>
    </w:p>
    <w:p w14:paraId="75DB80EA" w14:textId="42628193"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w:t>
      </w:r>
      <w:r w:rsidR="00B43A21" w:rsidRPr="00B43A21">
        <w:rPr>
          <w:rFonts w:asciiTheme="minorEastAsia" w:eastAsiaTheme="minorEastAsia" w:hAnsiTheme="minorEastAsia" w:cstheme="minorEastAsia" w:hint="eastAsia"/>
          <w:sz w:val="24"/>
        </w:rPr>
        <w:t>大型游乐设施</w:t>
      </w:r>
      <w:r>
        <w:rPr>
          <w:rFonts w:asciiTheme="minorEastAsia" w:eastAsiaTheme="minorEastAsia" w:hAnsiTheme="minorEastAsia" w:cstheme="minorEastAsia" w:hint="eastAsia"/>
          <w:sz w:val="24"/>
        </w:rPr>
        <w:t>监管机构；</w:t>
      </w:r>
    </w:p>
    <w:p w14:paraId="00ED7604" w14:textId="5CD10468"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w:t>
      </w:r>
      <w:r w:rsidR="00B43A21" w:rsidRPr="00B43A21">
        <w:rPr>
          <w:rFonts w:asciiTheme="minorEastAsia" w:eastAsiaTheme="minorEastAsia" w:hAnsiTheme="minorEastAsia" w:cstheme="minorEastAsia" w:hint="eastAsia"/>
          <w:sz w:val="24"/>
        </w:rPr>
        <w:t>大型游乐设施</w:t>
      </w:r>
      <w:r>
        <w:rPr>
          <w:rFonts w:asciiTheme="minorEastAsia" w:eastAsiaTheme="minorEastAsia" w:hAnsiTheme="minorEastAsia" w:cstheme="minorEastAsia" w:hint="eastAsia"/>
          <w:sz w:val="24"/>
        </w:rPr>
        <w:t>检验检测单位；</w:t>
      </w:r>
    </w:p>
    <w:p w14:paraId="30D5253C"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－－大型游乐设施生产、使用、维保单位；</w:t>
      </w:r>
    </w:p>
    <w:p w14:paraId="7C0247F6" w14:textId="79BF7B15"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w:t>
      </w:r>
      <w:r w:rsidR="00B43A21" w:rsidRPr="00B43A21">
        <w:rPr>
          <w:rFonts w:asciiTheme="minorEastAsia" w:eastAsiaTheme="minorEastAsia" w:hAnsiTheme="minorEastAsia" w:cstheme="minorEastAsia" w:hint="eastAsia"/>
          <w:sz w:val="24"/>
        </w:rPr>
        <w:t>大型游乐设施</w:t>
      </w:r>
      <w:r>
        <w:rPr>
          <w:rFonts w:asciiTheme="minorEastAsia" w:eastAsiaTheme="minorEastAsia" w:hAnsiTheme="minorEastAsia" w:cstheme="minorEastAsia" w:hint="eastAsia"/>
          <w:sz w:val="24"/>
        </w:rPr>
        <w:t>软件开发单位；</w:t>
      </w:r>
    </w:p>
    <w:p w14:paraId="7E8F938C"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－－其他。</w:t>
      </w:r>
    </w:p>
    <w:p w14:paraId="651C6F19" w14:textId="77777777" w:rsidR="0089258E" w:rsidRDefault="00000000">
      <w:pPr>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因为大型游乐设施安全管理数据交换规范会受到相关法律法规、标准规范等多</w:t>
      </w:r>
      <w:r>
        <w:rPr>
          <w:rFonts w:asciiTheme="minorEastAsia" w:eastAsiaTheme="minorEastAsia" w:hAnsiTheme="minorEastAsia" w:cstheme="minorEastAsia" w:hint="eastAsia"/>
          <w:sz w:val="24"/>
        </w:rPr>
        <w:lastRenderedPageBreak/>
        <w:t>种因素的影响。因此有必要根据将来的需要、使用实践、法律规范等各方面的因素，继续修订、完善本标准。</w:t>
      </w:r>
    </w:p>
    <w:p w14:paraId="50733643" w14:textId="77777777" w:rsidR="0089258E" w:rsidRDefault="0089258E">
      <w:pPr>
        <w:spacing w:line="360" w:lineRule="auto"/>
        <w:ind w:firstLineChars="200" w:firstLine="480"/>
        <w:rPr>
          <w:rFonts w:asciiTheme="minorEastAsia" w:eastAsiaTheme="minorEastAsia" w:hAnsiTheme="minorEastAsia" w:cstheme="minorEastAsia" w:hint="eastAsia"/>
          <w:sz w:val="24"/>
        </w:rPr>
      </w:pPr>
    </w:p>
    <w:sectPr w:rsidR="0089258E">
      <w:headerReference w:type="default" r:id="rId7"/>
      <w:footerReference w:type="even" r:id="rId8"/>
      <w:footerReference w:type="default" r:id="rId9"/>
      <w:pgSz w:w="11906" w:h="16838"/>
      <w:pgMar w:top="2098" w:right="1588" w:bottom="1814" w:left="1588" w:header="851" w:footer="1418"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D02DA6" w14:textId="77777777" w:rsidR="003D5687" w:rsidRDefault="003D5687">
      <w:r>
        <w:separator/>
      </w:r>
    </w:p>
  </w:endnote>
  <w:endnote w:type="continuationSeparator" w:id="0">
    <w:p w14:paraId="5B50DE9B" w14:textId="77777777" w:rsidR="003D5687" w:rsidRDefault="003D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创艺简仿宋">
    <w:altName w:val="方正舒体"/>
    <w:charset w:val="86"/>
    <w:family w:val="auto"/>
    <w:pitch w:val="default"/>
    <w:sig w:usb0="00000000" w:usb1="00000000" w:usb2="00000010" w:usb3="00000000" w:csb0="00040000" w:csb1="00000000"/>
  </w:font>
  <w:font w:name="楷体_GB2312">
    <w:altName w:val="微软雅黑"/>
    <w:charset w:val="86"/>
    <w:family w:val="roma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9F656C40-E113-4241-B9A1-0BE33FE3C147}"/>
  </w:font>
  <w:font w:name="汉鼎简大宋">
    <w:altName w:val="宋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方正小标宋_GBK">
    <w:altName w:val="微软雅黑"/>
    <w:panose1 w:val="03000509000000000000"/>
    <w:charset w:val="86"/>
    <w:family w:val="script"/>
    <w:pitch w:val="default"/>
    <w:sig w:usb0="A00002BF" w:usb1="38CF7CFA" w:usb2="00082016" w:usb3="00000000" w:csb0="00040001" w:csb1="00000000"/>
    <w:embedRegular r:id="rId2" w:subsetted="1" w:fontKey="{7A021120-2E90-44A7-8481-81A9BE7F3C11}"/>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74312" w14:textId="77777777" w:rsidR="0089258E" w:rsidRDefault="00000000">
    <w:pPr>
      <w:pStyle w:val="a8"/>
      <w:ind w:right="360" w:firstLineChars="100" w:firstLine="280"/>
    </w:pPr>
    <w:r>
      <w:rPr>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Pr>
        <w:sz w:val="28"/>
        <w:szCs w:val="28"/>
        <w:lang w:val="zh-CN"/>
      </w:rPr>
      <w:t>4</w:t>
    </w:r>
    <w:r>
      <w:rPr>
        <w:sz w:val="28"/>
        <w:szCs w:val="28"/>
      </w:rPr>
      <w:fldChar w:fldCharType="end"/>
    </w:r>
    <w:r>
      <w:rPr>
        <w:rFonts w:hint="eastAsia"/>
        <w:sz w:val="28"/>
        <w:szCs w:val="28"/>
      </w:rPr>
      <w:t xml:space="preserve"> </w:t>
    </w:r>
    <w:r>
      <w:rPr>
        <w:sz w:val="28"/>
        <w:szCs w:val="28"/>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33ED3" w14:textId="77777777" w:rsidR="0089258E" w:rsidRDefault="00000000">
    <w:pPr>
      <w:pStyle w:val="a8"/>
      <w:wordWrap w:val="0"/>
      <w:jc w:val="right"/>
      <w:rPr>
        <w:sz w:val="28"/>
        <w:szCs w:val="28"/>
      </w:rPr>
    </w:pPr>
    <w:r>
      <w:rPr>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Pr>
        <w:sz w:val="28"/>
        <w:szCs w:val="28"/>
        <w:lang w:val="zh-CN"/>
      </w:rPr>
      <w:t>3</w:t>
    </w:r>
    <w:r>
      <w:rPr>
        <w:sz w:val="28"/>
        <w:szCs w:val="28"/>
      </w:rPr>
      <w:fldChar w:fldCharType="end"/>
    </w:r>
    <w:r>
      <w:rPr>
        <w:rFonts w:hint="eastAsia"/>
        <w:sz w:val="28"/>
        <w:szCs w:val="28"/>
      </w:rPr>
      <w:t xml:space="preserve"> </w:t>
    </w:r>
    <w:r>
      <w:rPr>
        <w:sz w:val="28"/>
        <w:szCs w:val="28"/>
      </w:rPr>
      <w:t>—</w:t>
    </w:r>
    <w:r>
      <w:rPr>
        <w:rFonts w:hint="eastAsia"/>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8A2356" w14:textId="77777777" w:rsidR="003D5687" w:rsidRDefault="003D5687">
      <w:r>
        <w:separator/>
      </w:r>
    </w:p>
  </w:footnote>
  <w:footnote w:type="continuationSeparator" w:id="0">
    <w:p w14:paraId="1B4E6C1E" w14:textId="77777777" w:rsidR="003D5687" w:rsidRDefault="003D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3421A8" w14:textId="77777777" w:rsidR="0089258E" w:rsidRDefault="0089258E">
    <w:pPr>
      <w:pStyle w:val="aa"/>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TrueTypeFonts/>
  <w:saveSubsetFont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NlMmMyMDI1Y2FlMmY4NWNhZjJjMzUxZTJjY2Q3MWYifQ=="/>
  </w:docVars>
  <w:rsids>
    <w:rsidRoot w:val="00891F1C"/>
    <w:rsid w:val="00001260"/>
    <w:rsid w:val="000069BD"/>
    <w:rsid w:val="0001086E"/>
    <w:rsid w:val="00012090"/>
    <w:rsid w:val="000126EE"/>
    <w:rsid w:val="00013547"/>
    <w:rsid w:val="00016D1F"/>
    <w:rsid w:val="00021AB3"/>
    <w:rsid w:val="00021D89"/>
    <w:rsid w:val="00023F73"/>
    <w:rsid w:val="00024202"/>
    <w:rsid w:val="00025DCE"/>
    <w:rsid w:val="00033193"/>
    <w:rsid w:val="00040E2E"/>
    <w:rsid w:val="00044DDC"/>
    <w:rsid w:val="0004636A"/>
    <w:rsid w:val="000523C3"/>
    <w:rsid w:val="000525F8"/>
    <w:rsid w:val="00054EFA"/>
    <w:rsid w:val="0005648F"/>
    <w:rsid w:val="00057FC0"/>
    <w:rsid w:val="00062544"/>
    <w:rsid w:val="00063240"/>
    <w:rsid w:val="00066FC5"/>
    <w:rsid w:val="0007502B"/>
    <w:rsid w:val="00077282"/>
    <w:rsid w:val="00077FB8"/>
    <w:rsid w:val="0008034A"/>
    <w:rsid w:val="00085B3B"/>
    <w:rsid w:val="00092212"/>
    <w:rsid w:val="00097F9E"/>
    <w:rsid w:val="000A0177"/>
    <w:rsid w:val="000A0506"/>
    <w:rsid w:val="000A2233"/>
    <w:rsid w:val="000A2A85"/>
    <w:rsid w:val="000A50EF"/>
    <w:rsid w:val="000B0CEA"/>
    <w:rsid w:val="000B24E5"/>
    <w:rsid w:val="000B2992"/>
    <w:rsid w:val="000B5D72"/>
    <w:rsid w:val="000C10EF"/>
    <w:rsid w:val="000C121B"/>
    <w:rsid w:val="000C2EBD"/>
    <w:rsid w:val="000C4BE0"/>
    <w:rsid w:val="000C5049"/>
    <w:rsid w:val="000C6C3A"/>
    <w:rsid w:val="000D2DB4"/>
    <w:rsid w:val="000D2F2D"/>
    <w:rsid w:val="000D4582"/>
    <w:rsid w:val="000E2334"/>
    <w:rsid w:val="000E5987"/>
    <w:rsid w:val="000F0EDB"/>
    <w:rsid w:val="000F5A5D"/>
    <w:rsid w:val="000F77B4"/>
    <w:rsid w:val="00101D38"/>
    <w:rsid w:val="00107C2A"/>
    <w:rsid w:val="00117E45"/>
    <w:rsid w:val="00125304"/>
    <w:rsid w:val="0013279C"/>
    <w:rsid w:val="00133785"/>
    <w:rsid w:val="001370E1"/>
    <w:rsid w:val="00137B1C"/>
    <w:rsid w:val="0014161F"/>
    <w:rsid w:val="00147516"/>
    <w:rsid w:val="00150ED2"/>
    <w:rsid w:val="001525C3"/>
    <w:rsid w:val="001531F7"/>
    <w:rsid w:val="001604B2"/>
    <w:rsid w:val="00165C7F"/>
    <w:rsid w:val="00166906"/>
    <w:rsid w:val="00182824"/>
    <w:rsid w:val="001918A5"/>
    <w:rsid w:val="00192711"/>
    <w:rsid w:val="00193B54"/>
    <w:rsid w:val="00195309"/>
    <w:rsid w:val="00196CE7"/>
    <w:rsid w:val="0019708E"/>
    <w:rsid w:val="001A16B2"/>
    <w:rsid w:val="001A5DF7"/>
    <w:rsid w:val="001B37C7"/>
    <w:rsid w:val="001B6DC7"/>
    <w:rsid w:val="001C15B4"/>
    <w:rsid w:val="001E1CE2"/>
    <w:rsid w:val="001E2FA7"/>
    <w:rsid w:val="001E5920"/>
    <w:rsid w:val="001E6E9E"/>
    <w:rsid w:val="001E7558"/>
    <w:rsid w:val="001E7F41"/>
    <w:rsid w:val="001F132A"/>
    <w:rsid w:val="001F146A"/>
    <w:rsid w:val="001F46F2"/>
    <w:rsid w:val="00202E76"/>
    <w:rsid w:val="00205613"/>
    <w:rsid w:val="00207E7A"/>
    <w:rsid w:val="00213BBB"/>
    <w:rsid w:val="00217FA6"/>
    <w:rsid w:val="00224319"/>
    <w:rsid w:val="0022627D"/>
    <w:rsid w:val="002269A8"/>
    <w:rsid w:val="0023043C"/>
    <w:rsid w:val="00233370"/>
    <w:rsid w:val="00243358"/>
    <w:rsid w:val="00250192"/>
    <w:rsid w:val="00250AE2"/>
    <w:rsid w:val="00250BF6"/>
    <w:rsid w:val="0025767A"/>
    <w:rsid w:val="00261508"/>
    <w:rsid w:val="0026686F"/>
    <w:rsid w:val="00267229"/>
    <w:rsid w:val="00267246"/>
    <w:rsid w:val="00271E54"/>
    <w:rsid w:val="002738CF"/>
    <w:rsid w:val="00274283"/>
    <w:rsid w:val="0027776D"/>
    <w:rsid w:val="0027789C"/>
    <w:rsid w:val="00291D93"/>
    <w:rsid w:val="002A3096"/>
    <w:rsid w:val="002A59B7"/>
    <w:rsid w:val="002A5D4C"/>
    <w:rsid w:val="002B0B37"/>
    <w:rsid w:val="002B1D94"/>
    <w:rsid w:val="002B45C0"/>
    <w:rsid w:val="002B6FAA"/>
    <w:rsid w:val="002C1732"/>
    <w:rsid w:val="002C7AFA"/>
    <w:rsid w:val="002D08ED"/>
    <w:rsid w:val="002E1AE5"/>
    <w:rsid w:val="002F2D09"/>
    <w:rsid w:val="002F70E0"/>
    <w:rsid w:val="002F749B"/>
    <w:rsid w:val="002F7E87"/>
    <w:rsid w:val="00311693"/>
    <w:rsid w:val="003203D9"/>
    <w:rsid w:val="00320F17"/>
    <w:rsid w:val="00325081"/>
    <w:rsid w:val="0032704E"/>
    <w:rsid w:val="0033059D"/>
    <w:rsid w:val="00331D85"/>
    <w:rsid w:val="00335103"/>
    <w:rsid w:val="0034664A"/>
    <w:rsid w:val="00351187"/>
    <w:rsid w:val="00355686"/>
    <w:rsid w:val="0036057B"/>
    <w:rsid w:val="0036709E"/>
    <w:rsid w:val="0037543E"/>
    <w:rsid w:val="00376FA2"/>
    <w:rsid w:val="00380CCE"/>
    <w:rsid w:val="00382346"/>
    <w:rsid w:val="003904AC"/>
    <w:rsid w:val="003A1C69"/>
    <w:rsid w:val="003A2A05"/>
    <w:rsid w:val="003A3C08"/>
    <w:rsid w:val="003A7615"/>
    <w:rsid w:val="003B1230"/>
    <w:rsid w:val="003B7660"/>
    <w:rsid w:val="003C17E6"/>
    <w:rsid w:val="003D0003"/>
    <w:rsid w:val="003D5687"/>
    <w:rsid w:val="003E06DC"/>
    <w:rsid w:val="003E41C5"/>
    <w:rsid w:val="003E47BC"/>
    <w:rsid w:val="003E5159"/>
    <w:rsid w:val="003E6747"/>
    <w:rsid w:val="003F2087"/>
    <w:rsid w:val="003F3B12"/>
    <w:rsid w:val="003F51CA"/>
    <w:rsid w:val="00406F54"/>
    <w:rsid w:val="00414851"/>
    <w:rsid w:val="004219B5"/>
    <w:rsid w:val="004228EC"/>
    <w:rsid w:val="00431969"/>
    <w:rsid w:val="00437FFC"/>
    <w:rsid w:val="00450569"/>
    <w:rsid w:val="00453A14"/>
    <w:rsid w:val="0046317D"/>
    <w:rsid w:val="0046443D"/>
    <w:rsid w:val="00466E05"/>
    <w:rsid w:val="004809E1"/>
    <w:rsid w:val="00481204"/>
    <w:rsid w:val="004934A7"/>
    <w:rsid w:val="004955B5"/>
    <w:rsid w:val="004A2957"/>
    <w:rsid w:val="004A30BF"/>
    <w:rsid w:val="004A4183"/>
    <w:rsid w:val="004A5048"/>
    <w:rsid w:val="004A7FDD"/>
    <w:rsid w:val="004B0FE1"/>
    <w:rsid w:val="004B42E6"/>
    <w:rsid w:val="004C0A47"/>
    <w:rsid w:val="004C27E8"/>
    <w:rsid w:val="004F236C"/>
    <w:rsid w:val="004F5E83"/>
    <w:rsid w:val="00501742"/>
    <w:rsid w:val="0050548F"/>
    <w:rsid w:val="00506B43"/>
    <w:rsid w:val="00507476"/>
    <w:rsid w:val="005254F3"/>
    <w:rsid w:val="0052710C"/>
    <w:rsid w:val="005337CA"/>
    <w:rsid w:val="00535CD9"/>
    <w:rsid w:val="00535E31"/>
    <w:rsid w:val="00536B3B"/>
    <w:rsid w:val="00553593"/>
    <w:rsid w:val="00554361"/>
    <w:rsid w:val="0056040C"/>
    <w:rsid w:val="00560F34"/>
    <w:rsid w:val="005642E4"/>
    <w:rsid w:val="005670FB"/>
    <w:rsid w:val="005732DF"/>
    <w:rsid w:val="00583742"/>
    <w:rsid w:val="00586069"/>
    <w:rsid w:val="005926CE"/>
    <w:rsid w:val="005A19CC"/>
    <w:rsid w:val="005A4BF1"/>
    <w:rsid w:val="005B0DAE"/>
    <w:rsid w:val="005B11BC"/>
    <w:rsid w:val="005B7CD2"/>
    <w:rsid w:val="005C3974"/>
    <w:rsid w:val="005C6EA8"/>
    <w:rsid w:val="005D4117"/>
    <w:rsid w:val="005D4E45"/>
    <w:rsid w:val="005E16EC"/>
    <w:rsid w:val="005F0B91"/>
    <w:rsid w:val="005F4AFE"/>
    <w:rsid w:val="00607CC3"/>
    <w:rsid w:val="0061210E"/>
    <w:rsid w:val="006128BB"/>
    <w:rsid w:val="0061790D"/>
    <w:rsid w:val="00632801"/>
    <w:rsid w:val="00636FEE"/>
    <w:rsid w:val="006567DE"/>
    <w:rsid w:val="00660D31"/>
    <w:rsid w:val="0066195F"/>
    <w:rsid w:val="00663168"/>
    <w:rsid w:val="0067113D"/>
    <w:rsid w:val="00675E05"/>
    <w:rsid w:val="00680198"/>
    <w:rsid w:val="00691086"/>
    <w:rsid w:val="0069229C"/>
    <w:rsid w:val="00694951"/>
    <w:rsid w:val="006A3F54"/>
    <w:rsid w:val="006A7185"/>
    <w:rsid w:val="006B4121"/>
    <w:rsid w:val="006C1916"/>
    <w:rsid w:val="006C41F3"/>
    <w:rsid w:val="006C54CB"/>
    <w:rsid w:val="006D4980"/>
    <w:rsid w:val="006E1855"/>
    <w:rsid w:val="006E3AC1"/>
    <w:rsid w:val="006E6528"/>
    <w:rsid w:val="006E7E06"/>
    <w:rsid w:val="006F0426"/>
    <w:rsid w:val="006F11ED"/>
    <w:rsid w:val="00702217"/>
    <w:rsid w:val="00705B09"/>
    <w:rsid w:val="00706845"/>
    <w:rsid w:val="007073FF"/>
    <w:rsid w:val="007076EA"/>
    <w:rsid w:val="00725E36"/>
    <w:rsid w:val="0073291C"/>
    <w:rsid w:val="00736A73"/>
    <w:rsid w:val="007370BF"/>
    <w:rsid w:val="007400F3"/>
    <w:rsid w:val="00747149"/>
    <w:rsid w:val="007562F5"/>
    <w:rsid w:val="00761D13"/>
    <w:rsid w:val="00763BB0"/>
    <w:rsid w:val="00763D4A"/>
    <w:rsid w:val="007744D9"/>
    <w:rsid w:val="0077646C"/>
    <w:rsid w:val="007851C8"/>
    <w:rsid w:val="00786541"/>
    <w:rsid w:val="007917C8"/>
    <w:rsid w:val="00792D9D"/>
    <w:rsid w:val="007966FF"/>
    <w:rsid w:val="007977F7"/>
    <w:rsid w:val="007A08DA"/>
    <w:rsid w:val="007A7F7F"/>
    <w:rsid w:val="007B03D9"/>
    <w:rsid w:val="007B2745"/>
    <w:rsid w:val="007B30B3"/>
    <w:rsid w:val="007B39A6"/>
    <w:rsid w:val="007C33B9"/>
    <w:rsid w:val="007C4AA1"/>
    <w:rsid w:val="007C6AFC"/>
    <w:rsid w:val="007D726C"/>
    <w:rsid w:val="007E0E40"/>
    <w:rsid w:val="007E0F57"/>
    <w:rsid w:val="007E31E2"/>
    <w:rsid w:val="008007F9"/>
    <w:rsid w:val="00803890"/>
    <w:rsid w:val="008137B0"/>
    <w:rsid w:val="00821E98"/>
    <w:rsid w:val="00824EDB"/>
    <w:rsid w:val="00831A38"/>
    <w:rsid w:val="00834F64"/>
    <w:rsid w:val="00837136"/>
    <w:rsid w:val="00837AB6"/>
    <w:rsid w:val="00856213"/>
    <w:rsid w:val="00857B7F"/>
    <w:rsid w:val="008613FF"/>
    <w:rsid w:val="0086550C"/>
    <w:rsid w:val="0088170B"/>
    <w:rsid w:val="008846CE"/>
    <w:rsid w:val="008866DA"/>
    <w:rsid w:val="008904CB"/>
    <w:rsid w:val="008904CD"/>
    <w:rsid w:val="00891F1C"/>
    <w:rsid w:val="0089258E"/>
    <w:rsid w:val="0089648A"/>
    <w:rsid w:val="008A28BC"/>
    <w:rsid w:val="008A4347"/>
    <w:rsid w:val="008A52B8"/>
    <w:rsid w:val="008A6F78"/>
    <w:rsid w:val="008B16A5"/>
    <w:rsid w:val="008B3E8F"/>
    <w:rsid w:val="008B4275"/>
    <w:rsid w:val="008C5E82"/>
    <w:rsid w:val="008D1C35"/>
    <w:rsid w:val="008D7479"/>
    <w:rsid w:val="008D762D"/>
    <w:rsid w:val="008E067B"/>
    <w:rsid w:val="008E1D0C"/>
    <w:rsid w:val="008F09C2"/>
    <w:rsid w:val="008F184C"/>
    <w:rsid w:val="00900399"/>
    <w:rsid w:val="00900ABD"/>
    <w:rsid w:val="00900E53"/>
    <w:rsid w:val="009020A7"/>
    <w:rsid w:val="0091518A"/>
    <w:rsid w:val="00917A3D"/>
    <w:rsid w:val="0092174D"/>
    <w:rsid w:val="00923B64"/>
    <w:rsid w:val="00932425"/>
    <w:rsid w:val="00935AB1"/>
    <w:rsid w:val="00954EC8"/>
    <w:rsid w:val="009559B0"/>
    <w:rsid w:val="0095711B"/>
    <w:rsid w:val="00963410"/>
    <w:rsid w:val="00977617"/>
    <w:rsid w:val="00977BAB"/>
    <w:rsid w:val="00982FBD"/>
    <w:rsid w:val="009848A5"/>
    <w:rsid w:val="00987526"/>
    <w:rsid w:val="0099327B"/>
    <w:rsid w:val="009952B5"/>
    <w:rsid w:val="009A1358"/>
    <w:rsid w:val="009A6DAF"/>
    <w:rsid w:val="009C616C"/>
    <w:rsid w:val="009D139B"/>
    <w:rsid w:val="009D3E70"/>
    <w:rsid w:val="009D6B09"/>
    <w:rsid w:val="009D6FA7"/>
    <w:rsid w:val="009E4EF3"/>
    <w:rsid w:val="009E6C8D"/>
    <w:rsid w:val="009E6E36"/>
    <w:rsid w:val="009E7602"/>
    <w:rsid w:val="009E7AA6"/>
    <w:rsid w:val="009F4788"/>
    <w:rsid w:val="00A01442"/>
    <w:rsid w:val="00A10D14"/>
    <w:rsid w:val="00A20E48"/>
    <w:rsid w:val="00A228BB"/>
    <w:rsid w:val="00A27263"/>
    <w:rsid w:val="00A27526"/>
    <w:rsid w:val="00A31F50"/>
    <w:rsid w:val="00A33974"/>
    <w:rsid w:val="00A37693"/>
    <w:rsid w:val="00A43684"/>
    <w:rsid w:val="00A47E8F"/>
    <w:rsid w:val="00A51482"/>
    <w:rsid w:val="00A54746"/>
    <w:rsid w:val="00A5488E"/>
    <w:rsid w:val="00A56479"/>
    <w:rsid w:val="00A564B7"/>
    <w:rsid w:val="00A57A1B"/>
    <w:rsid w:val="00A70C6C"/>
    <w:rsid w:val="00A82F02"/>
    <w:rsid w:val="00A82F10"/>
    <w:rsid w:val="00A833DD"/>
    <w:rsid w:val="00A920AB"/>
    <w:rsid w:val="00A93A37"/>
    <w:rsid w:val="00A94B0A"/>
    <w:rsid w:val="00AA0552"/>
    <w:rsid w:val="00AA3D2F"/>
    <w:rsid w:val="00AA3E2D"/>
    <w:rsid w:val="00AB1368"/>
    <w:rsid w:val="00AB29EF"/>
    <w:rsid w:val="00AB6BDE"/>
    <w:rsid w:val="00AB6CAF"/>
    <w:rsid w:val="00AC3497"/>
    <w:rsid w:val="00AC4262"/>
    <w:rsid w:val="00AC5183"/>
    <w:rsid w:val="00AC5F62"/>
    <w:rsid w:val="00AC687B"/>
    <w:rsid w:val="00AC7F57"/>
    <w:rsid w:val="00AD27C5"/>
    <w:rsid w:val="00AD3751"/>
    <w:rsid w:val="00AD59FE"/>
    <w:rsid w:val="00AD6D56"/>
    <w:rsid w:val="00AE40A5"/>
    <w:rsid w:val="00AF587E"/>
    <w:rsid w:val="00AF6A20"/>
    <w:rsid w:val="00AF6A8E"/>
    <w:rsid w:val="00AF77FE"/>
    <w:rsid w:val="00B044AE"/>
    <w:rsid w:val="00B11441"/>
    <w:rsid w:val="00B1415D"/>
    <w:rsid w:val="00B1547A"/>
    <w:rsid w:val="00B15651"/>
    <w:rsid w:val="00B22F00"/>
    <w:rsid w:val="00B34BA2"/>
    <w:rsid w:val="00B41F9C"/>
    <w:rsid w:val="00B425A4"/>
    <w:rsid w:val="00B43A21"/>
    <w:rsid w:val="00B51D8B"/>
    <w:rsid w:val="00B52A86"/>
    <w:rsid w:val="00B52C47"/>
    <w:rsid w:val="00B57BA6"/>
    <w:rsid w:val="00B65901"/>
    <w:rsid w:val="00B716A4"/>
    <w:rsid w:val="00B73DC2"/>
    <w:rsid w:val="00B7642F"/>
    <w:rsid w:val="00B87E2D"/>
    <w:rsid w:val="00B90709"/>
    <w:rsid w:val="00B90B34"/>
    <w:rsid w:val="00B9173F"/>
    <w:rsid w:val="00B92D2B"/>
    <w:rsid w:val="00BA0670"/>
    <w:rsid w:val="00BA716C"/>
    <w:rsid w:val="00BB04BD"/>
    <w:rsid w:val="00BB602B"/>
    <w:rsid w:val="00BC0D00"/>
    <w:rsid w:val="00BC3BCB"/>
    <w:rsid w:val="00BD0280"/>
    <w:rsid w:val="00BD3A6B"/>
    <w:rsid w:val="00BE031E"/>
    <w:rsid w:val="00BF0572"/>
    <w:rsid w:val="00BF5A14"/>
    <w:rsid w:val="00BF6EB6"/>
    <w:rsid w:val="00C01CEF"/>
    <w:rsid w:val="00C04355"/>
    <w:rsid w:val="00C0498A"/>
    <w:rsid w:val="00C07B29"/>
    <w:rsid w:val="00C10888"/>
    <w:rsid w:val="00C17004"/>
    <w:rsid w:val="00C17792"/>
    <w:rsid w:val="00C325E5"/>
    <w:rsid w:val="00C352B6"/>
    <w:rsid w:val="00C55B21"/>
    <w:rsid w:val="00C61A27"/>
    <w:rsid w:val="00C63187"/>
    <w:rsid w:val="00C66A34"/>
    <w:rsid w:val="00C6793F"/>
    <w:rsid w:val="00C7471B"/>
    <w:rsid w:val="00C752A8"/>
    <w:rsid w:val="00C87120"/>
    <w:rsid w:val="00C9189D"/>
    <w:rsid w:val="00C972F3"/>
    <w:rsid w:val="00C97534"/>
    <w:rsid w:val="00CA30CE"/>
    <w:rsid w:val="00CB2C67"/>
    <w:rsid w:val="00CB46C6"/>
    <w:rsid w:val="00CC0FC2"/>
    <w:rsid w:val="00CD08B6"/>
    <w:rsid w:val="00CD5BC3"/>
    <w:rsid w:val="00CE0F14"/>
    <w:rsid w:val="00CF1F1B"/>
    <w:rsid w:val="00CF5A28"/>
    <w:rsid w:val="00D01BC0"/>
    <w:rsid w:val="00D04400"/>
    <w:rsid w:val="00D074D5"/>
    <w:rsid w:val="00D12EDB"/>
    <w:rsid w:val="00D137E9"/>
    <w:rsid w:val="00D17B55"/>
    <w:rsid w:val="00D21826"/>
    <w:rsid w:val="00D24654"/>
    <w:rsid w:val="00D25C13"/>
    <w:rsid w:val="00D31756"/>
    <w:rsid w:val="00D36DD9"/>
    <w:rsid w:val="00D57AED"/>
    <w:rsid w:val="00D6020C"/>
    <w:rsid w:val="00D65790"/>
    <w:rsid w:val="00D8002E"/>
    <w:rsid w:val="00D811F5"/>
    <w:rsid w:val="00D84CA2"/>
    <w:rsid w:val="00D86352"/>
    <w:rsid w:val="00D86999"/>
    <w:rsid w:val="00D87274"/>
    <w:rsid w:val="00D90D42"/>
    <w:rsid w:val="00D94B1F"/>
    <w:rsid w:val="00D956F0"/>
    <w:rsid w:val="00DA1822"/>
    <w:rsid w:val="00DA46D2"/>
    <w:rsid w:val="00DA6656"/>
    <w:rsid w:val="00DA6B86"/>
    <w:rsid w:val="00DB3551"/>
    <w:rsid w:val="00DC4DF2"/>
    <w:rsid w:val="00DD1E76"/>
    <w:rsid w:val="00DD6F9A"/>
    <w:rsid w:val="00DE412A"/>
    <w:rsid w:val="00DF0AAB"/>
    <w:rsid w:val="00DF18F9"/>
    <w:rsid w:val="00DF312E"/>
    <w:rsid w:val="00E00D1F"/>
    <w:rsid w:val="00E00EF9"/>
    <w:rsid w:val="00E0298F"/>
    <w:rsid w:val="00E04094"/>
    <w:rsid w:val="00E0731F"/>
    <w:rsid w:val="00E1266D"/>
    <w:rsid w:val="00E251D4"/>
    <w:rsid w:val="00E34712"/>
    <w:rsid w:val="00E34844"/>
    <w:rsid w:val="00E3522C"/>
    <w:rsid w:val="00E4324C"/>
    <w:rsid w:val="00E44399"/>
    <w:rsid w:val="00E44A00"/>
    <w:rsid w:val="00E506E3"/>
    <w:rsid w:val="00E64742"/>
    <w:rsid w:val="00E678E7"/>
    <w:rsid w:val="00E73333"/>
    <w:rsid w:val="00E779DB"/>
    <w:rsid w:val="00E873EE"/>
    <w:rsid w:val="00E93E5B"/>
    <w:rsid w:val="00EA78DB"/>
    <w:rsid w:val="00EB0297"/>
    <w:rsid w:val="00EB03D7"/>
    <w:rsid w:val="00EB0F3E"/>
    <w:rsid w:val="00EC76AF"/>
    <w:rsid w:val="00ED1EBF"/>
    <w:rsid w:val="00ED4148"/>
    <w:rsid w:val="00EF39F2"/>
    <w:rsid w:val="00EF3CD7"/>
    <w:rsid w:val="00EF4EE3"/>
    <w:rsid w:val="00EF6D99"/>
    <w:rsid w:val="00F0052E"/>
    <w:rsid w:val="00F00F91"/>
    <w:rsid w:val="00F15DDE"/>
    <w:rsid w:val="00F249EC"/>
    <w:rsid w:val="00F279AF"/>
    <w:rsid w:val="00F33A55"/>
    <w:rsid w:val="00F3769A"/>
    <w:rsid w:val="00F37E6F"/>
    <w:rsid w:val="00F47C49"/>
    <w:rsid w:val="00F50866"/>
    <w:rsid w:val="00F544DB"/>
    <w:rsid w:val="00F66568"/>
    <w:rsid w:val="00F668C5"/>
    <w:rsid w:val="00F67A98"/>
    <w:rsid w:val="00F713C4"/>
    <w:rsid w:val="00F72265"/>
    <w:rsid w:val="00F77F13"/>
    <w:rsid w:val="00F83C98"/>
    <w:rsid w:val="00F856F9"/>
    <w:rsid w:val="00F93740"/>
    <w:rsid w:val="00FA327E"/>
    <w:rsid w:val="00FB02CD"/>
    <w:rsid w:val="00FB7551"/>
    <w:rsid w:val="00FC0383"/>
    <w:rsid w:val="00FC4849"/>
    <w:rsid w:val="00FD4AA8"/>
    <w:rsid w:val="00FD60C6"/>
    <w:rsid w:val="00FE1E34"/>
    <w:rsid w:val="00FE7D30"/>
    <w:rsid w:val="00FF08B9"/>
    <w:rsid w:val="00FF2ABE"/>
    <w:rsid w:val="00FF3AFB"/>
    <w:rsid w:val="00FF4D11"/>
    <w:rsid w:val="00FF7D9C"/>
    <w:rsid w:val="08980941"/>
    <w:rsid w:val="13374667"/>
    <w:rsid w:val="19BB76D1"/>
    <w:rsid w:val="204C4020"/>
    <w:rsid w:val="27C74D73"/>
    <w:rsid w:val="2BF821EA"/>
    <w:rsid w:val="33AC059A"/>
    <w:rsid w:val="36635636"/>
    <w:rsid w:val="3FBC1E4C"/>
    <w:rsid w:val="455536AC"/>
    <w:rsid w:val="4F6464C0"/>
    <w:rsid w:val="545509EE"/>
    <w:rsid w:val="60593170"/>
    <w:rsid w:val="69336EFD"/>
    <w:rsid w:val="6CB56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232A6"/>
  <w15:docId w15:val="{22096AB3-D69E-4C42-B8A9-D10F915C3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Date" w:qFormat="1"/>
    <w:lsdException w:name="Body Text Indent 3"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Date"/>
    <w:basedOn w:val="a"/>
    <w:next w:val="a"/>
    <w:qFormat/>
    <w:rPr>
      <w:rFonts w:eastAsia="创艺简仿宋"/>
      <w:sz w:val="30"/>
      <w:szCs w:val="20"/>
    </w:rPr>
  </w:style>
  <w:style w:type="paragraph" w:styleId="a6">
    <w:name w:val="Balloon Text"/>
    <w:basedOn w:val="a"/>
    <w:link w:val="a7"/>
    <w:qFormat/>
    <w:rPr>
      <w:sz w:val="18"/>
      <w:szCs w:val="18"/>
    </w:rPr>
  </w:style>
  <w:style w:type="paragraph" w:styleId="a8">
    <w:name w:val="footer"/>
    <w:basedOn w:val="a"/>
    <w:link w:val="a9"/>
    <w:uiPriority w:val="99"/>
    <w:qFormat/>
    <w:pPr>
      <w:tabs>
        <w:tab w:val="center" w:pos="4153"/>
        <w:tab w:val="right" w:pos="8306"/>
      </w:tabs>
      <w:snapToGrid w:val="0"/>
      <w:jc w:val="left"/>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qFormat/>
    <w:pPr>
      <w:ind w:firstLine="645"/>
    </w:pPr>
    <w:rPr>
      <w:rFonts w:ascii="楷体_GB2312" w:eastAsia="楷体_GB2312"/>
      <w:sz w:val="32"/>
    </w:rPr>
  </w:style>
  <w:style w:type="table" w:styleId="ab">
    <w:name w:val="Table Grid"/>
    <w:basedOn w:val="a1"/>
    <w:qFormat/>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qFormat/>
  </w:style>
  <w:style w:type="character" w:styleId="ad">
    <w:name w:val="Hyperlink"/>
    <w:qFormat/>
    <w:rPr>
      <w:color w:val="0000FF"/>
      <w:u w:val="single"/>
    </w:rPr>
  </w:style>
  <w:style w:type="paragraph" w:customStyle="1" w:styleId="Style8">
    <w:name w:val="_Style 8"/>
    <w:basedOn w:val="a"/>
    <w:qFormat/>
    <w:pPr>
      <w:widowControl/>
      <w:spacing w:after="160" w:line="240" w:lineRule="exact"/>
      <w:jc w:val="left"/>
    </w:pPr>
    <w:rPr>
      <w:rFonts w:ascii="Verdana" w:hAnsi="Verdana"/>
      <w:kern w:val="0"/>
      <w:sz w:val="18"/>
      <w:szCs w:val="20"/>
      <w:lang w:eastAsia="en-US"/>
    </w:rPr>
  </w:style>
  <w:style w:type="character" w:customStyle="1" w:styleId="a7">
    <w:name w:val="批注框文本 字符"/>
    <w:link w:val="a6"/>
    <w:qFormat/>
    <w:rPr>
      <w:kern w:val="2"/>
      <w:sz w:val="18"/>
      <w:szCs w:val="18"/>
    </w:rPr>
  </w:style>
  <w:style w:type="character" w:customStyle="1" w:styleId="a9">
    <w:name w:val="页脚 字符"/>
    <w:link w:val="a8"/>
    <w:uiPriority w:val="99"/>
    <w:qFormat/>
    <w:rPr>
      <w:kern w:val="2"/>
      <w:sz w:val="18"/>
      <w:szCs w:val="18"/>
    </w:rPr>
  </w:style>
  <w:style w:type="paragraph" w:customStyle="1" w:styleId="ae">
    <w:name w:val="红线"/>
    <w:basedOn w:val="1"/>
    <w:qFormat/>
    <w:pPr>
      <w:keepNext w:val="0"/>
      <w:keepLines w:val="0"/>
      <w:autoSpaceDE w:val="0"/>
      <w:autoSpaceDN w:val="0"/>
      <w:adjustRightInd w:val="0"/>
      <w:spacing w:before="0" w:after="851" w:line="227" w:lineRule="atLeast"/>
      <w:ind w:right="-142"/>
      <w:jc w:val="center"/>
      <w:outlineLvl w:val="9"/>
    </w:pPr>
    <w:rPr>
      <w:rFonts w:ascii="宋体"/>
      <w:bCs w:val="0"/>
      <w:snapToGrid w:val="0"/>
      <w:kern w:val="0"/>
      <w:sz w:val="10"/>
      <w:szCs w:val="20"/>
    </w:rPr>
  </w:style>
  <w:style w:type="paragraph" w:customStyle="1" w:styleId="af">
    <w:name w:val="密级"/>
    <w:basedOn w:val="a"/>
    <w:qFormat/>
    <w:pPr>
      <w:autoSpaceDE w:val="0"/>
      <w:autoSpaceDN w:val="0"/>
      <w:adjustRightInd w:val="0"/>
      <w:spacing w:line="425" w:lineRule="atLeast"/>
      <w:jc w:val="right"/>
    </w:pPr>
    <w:rPr>
      <w:rFonts w:ascii="黑体" w:eastAsia="黑体"/>
      <w:snapToGrid w:val="0"/>
      <w:kern w:val="0"/>
      <w:sz w:val="30"/>
      <w:szCs w:val="20"/>
    </w:rPr>
  </w:style>
  <w:style w:type="paragraph" w:customStyle="1" w:styleId="af0">
    <w:name w:val="文头"/>
    <w:basedOn w:val="a"/>
    <w:qFormat/>
    <w:pPr>
      <w:tabs>
        <w:tab w:val="left" w:pos="6663"/>
      </w:tabs>
      <w:autoSpaceDE w:val="0"/>
      <w:autoSpaceDN w:val="0"/>
      <w:snapToGrid w:val="0"/>
      <w:spacing w:after="800" w:line="1500" w:lineRule="atLeast"/>
      <w:ind w:left="511" w:right="227" w:hanging="284"/>
      <w:jc w:val="distribute"/>
    </w:pPr>
    <w:rPr>
      <w:rFonts w:ascii="汉鼎简大宋" w:eastAsia="汉鼎简大宋"/>
      <w:b/>
      <w:snapToGrid w:val="0"/>
      <w:color w:val="FF0000"/>
      <w:w w:val="62"/>
      <w:kern w:val="0"/>
      <w:sz w:val="140"/>
      <w:szCs w:val="20"/>
    </w:rPr>
  </w:style>
  <w:style w:type="character" w:customStyle="1" w:styleId="10">
    <w:name w:val="标题 1 字符"/>
    <w:link w:val="1"/>
    <w:qFormat/>
    <w:rPr>
      <w:b/>
      <w:bCs/>
      <w:kern w:val="44"/>
      <w:sz w:val="44"/>
      <w:szCs w:val="44"/>
    </w:rPr>
  </w:style>
  <w:style w:type="paragraph" w:styleId="af1">
    <w:name w:val="List Paragraph"/>
    <w:basedOn w:val="a"/>
    <w:uiPriority w:val="34"/>
    <w:qFormat/>
    <w:pPr>
      <w:ind w:firstLineChars="200" w:firstLine="420"/>
    </w:pPr>
    <w:rPr>
      <w:rFonts w:ascii="Calibri" w:hAnsi="Calibri"/>
      <w:szCs w:val="22"/>
    </w:rPr>
  </w:style>
  <w:style w:type="character" w:customStyle="1" w:styleId="a4">
    <w:name w:val="文档结构图 字符"/>
    <w:basedOn w:val="a0"/>
    <w:link w:val="a3"/>
    <w:qFormat/>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29291-F2D7-4D45-9B62-C31CD7093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6</Pages>
  <Words>591</Words>
  <Characters>3375</Characters>
  <Application>Microsoft Office Word</Application>
  <DocSecurity>0</DocSecurity>
  <Lines>28</Lines>
  <Paragraphs>7</Paragraphs>
  <ScaleCrop>false</ScaleCrop>
  <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省质监局文件调整建议</dc:title>
  <dc:creator>xmq</dc:creator>
  <cp:lastModifiedBy>blue grace</cp:lastModifiedBy>
  <cp:revision>111</cp:revision>
  <cp:lastPrinted>2019-12-16T01:08:00Z</cp:lastPrinted>
  <dcterms:created xsi:type="dcterms:W3CDTF">2024-09-03T01:59:00Z</dcterms:created>
  <dcterms:modified xsi:type="dcterms:W3CDTF">2024-10-09T06:54:00Z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B08A40F42A38439CAEB5DE3ECD5309DB</vt:lpwstr>
  </property>
  <property fmtid="{D5CDD505-2E9C-101B-9397-08002B2CF9AE}" pid="4" name="MSIP_Label_defa4170-0d19-0005-0004-bc88714345d2_Enabled">
    <vt:lpwstr>true</vt:lpwstr>
  </property>
  <property fmtid="{D5CDD505-2E9C-101B-9397-08002B2CF9AE}" pid="5" name="MSIP_Label_defa4170-0d19-0005-0004-bc88714345d2_SetDate">
    <vt:lpwstr>2023-09-03T01:25:58Z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e5161ff3-180f-4f23-bc8e-6b27c3300254</vt:lpwstr>
  </property>
  <property fmtid="{D5CDD505-2E9C-101B-9397-08002B2CF9AE}" pid="9" name="MSIP_Label_defa4170-0d19-0005-0004-bc88714345d2_ActionId">
    <vt:lpwstr>ff56b76a-20c2-45e8-ac4c-66dfd8063df5</vt:lpwstr>
  </property>
  <property fmtid="{D5CDD505-2E9C-101B-9397-08002B2CF9AE}" pid="10" name="MSIP_Label_defa4170-0d19-0005-0004-bc88714345d2_ContentBits">
    <vt:lpwstr>0</vt:lpwstr>
  </property>
</Properties>
</file>